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5954" w:hanging="0"/>
        <w:rPr>
          <w:rFonts w:ascii="Times New Roman" w:hAnsi="Times New Roman" w:cs="Times New Roman"/>
          <w:sz w:val="24"/>
          <w:szCs w:val="24"/>
        </w:rPr>
      </w:pPr>
      <w:r>
        <w:rPr>
          <w:rFonts w:cs="Times New Roman" w:ascii="Times New Roman" w:hAnsi="Times New Roman"/>
          <w:color w:val="111111"/>
          <w:sz w:val="24"/>
          <w:szCs w:val="24"/>
        </w:rPr>
        <w:t xml:space="preserve">PATVIRTINTA </w:t>
      </w:r>
    </w:p>
    <w:p>
      <w:pPr>
        <w:pStyle w:val="Normal"/>
        <w:spacing w:lineRule="auto" w:line="240" w:before="0" w:after="0"/>
        <w:ind w:left="5954" w:hanging="0"/>
        <w:rPr/>
      </w:pPr>
      <w:r>
        <w:rPr>
          <w:rFonts w:cs="Times New Roman" w:ascii="Times New Roman" w:hAnsi="Times New Roman"/>
          <w:b w:val="false"/>
          <w:bCs w:val="false"/>
          <w:color w:val="111111"/>
          <w:sz w:val="24"/>
          <w:szCs w:val="24"/>
        </w:rPr>
        <w:t xml:space="preserve">Kauno </w:t>
      </w:r>
      <w:r>
        <w:rPr>
          <w:rStyle w:val="StrongEmphasis"/>
          <w:rFonts w:cs="Times New Roman" w:ascii="Times New Roman" w:hAnsi="Times New Roman"/>
          <w:b w:val="false"/>
          <w:bCs w:val="false"/>
          <w:i w:val="false"/>
          <w:caps w:val="false"/>
          <w:smallCaps w:val="false"/>
          <w:color w:val="111111"/>
          <w:spacing w:val="0"/>
          <w:sz w:val="24"/>
          <w:szCs w:val="24"/>
        </w:rPr>
        <w:t xml:space="preserve"> Tirkiliškių mokyklos-darželio</w:t>
      </w:r>
      <w:r>
        <w:rPr>
          <w:rFonts w:cs="Times New Roman" w:ascii="Times New Roman" w:hAnsi="Times New Roman"/>
          <w:b w:val="false"/>
          <w:bCs w:val="false"/>
          <w:color w:val="111111"/>
          <w:sz w:val="24"/>
          <w:szCs w:val="24"/>
        </w:rPr>
        <w:t xml:space="preserve"> </w:t>
      </w:r>
      <w:r>
        <w:rPr>
          <w:rFonts w:cs="Times New Roman" w:ascii="Times New Roman" w:hAnsi="Times New Roman"/>
          <w:color w:val="111111"/>
          <w:sz w:val="24"/>
          <w:szCs w:val="24"/>
        </w:rPr>
        <w:t xml:space="preserve"> </w:t>
      </w:r>
    </w:p>
    <w:p>
      <w:pPr>
        <w:pStyle w:val="Normal"/>
        <w:spacing w:lineRule="auto" w:line="240" w:before="0" w:after="0"/>
        <w:ind w:left="5954" w:hanging="0"/>
        <w:rPr>
          <w:color w:val="111111"/>
        </w:rPr>
      </w:pPr>
      <w:r>
        <w:rPr>
          <w:rFonts w:cs="Times New Roman" w:ascii="Times New Roman" w:hAnsi="Times New Roman"/>
          <w:color w:val="111111"/>
          <w:sz w:val="24"/>
          <w:szCs w:val="24"/>
        </w:rPr>
        <w:t>direktoriaus 2019 m.rugsėjo 23 d.</w:t>
      </w:r>
    </w:p>
    <w:p>
      <w:pPr>
        <w:pStyle w:val="Normal"/>
        <w:spacing w:lineRule="auto" w:line="240" w:before="0" w:after="0"/>
        <w:ind w:left="5954" w:hanging="0"/>
        <w:rPr/>
      </w:pPr>
      <w:r>
        <w:rPr>
          <w:rFonts w:cs="Times New Roman" w:ascii="Times New Roman" w:hAnsi="Times New Roman"/>
          <w:color w:val="111111"/>
          <w:sz w:val="24"/>
          <w:szCs w:val="24"/>
        </w:rPr>
        <w:t>įsakymu Nr. V-</w:t>
      </w:r>
      <w:r>
        <w:rPr>
          <w:rFonts w:cs="Times New Roman" w:ascii="Times New Roman" w:hAnsi="Times New Roman"/>
          <w:color w:val="111111"/>
          <w:sz w:val="24"/>
          <w:szCs w:val="24"/>
        </w:rPr>
        <w:t>36</w:t>
      </w:r>
    </w:p>
    <w:p>
      <w:pPr>
        <w:pStyle w:val="Normal"/>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color w:val="111111"/>
        </w:rPr>
      </w:pPr>
      <w:r>
        <w:rPr>
          <w:rFonts w:cs="Times New Roman" w:ascii="Times New Roman" w:hAnsi="Times New Roman"/>
          <w:b/>
          <w:color w:val="111111"/>
          <w:sz w:val="24"/>
          <w:szCs w:val="24"/>
        </w:rPr>
        <w:t>KAUNO TIRKILIŠKIŲ MOKYKLOS-DARŽELIO</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VIDINIŲ INFORMACIJOS APIE PAŽEIDIMUS TEIKIMO KANALŲ ĮDIEGIMO IR JŲ FUNKCIONAVIMO UŽTIKRINIMO TVARKOS APRAŠAS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I SKYRIUS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BENDROSIOS NUOSTATOS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1"/>
        </w:numPr>
        <w:jc w:val="both"/>
        <w:rPr/>
      </w:pPr>
      <w:r>
        <w:rPr>
          <w:rFonts w:cs="Times New Roman" w:ascii="Times New Roman" w:hAnsi="Times New Roman"/>
          <w:sz w:val="24"/>
          <w:szCs w:val="24"/>
        </w:rPr>
        <w:t xml:space="preserve">Vidinių informacijos apie pažeidimus teikimo kanalų įdiegimo ir jų funkcionavimo užtikrinimo tvarkos apraše (toliau – Aprašas) nustatomi </w:t>
      </w:r>
      <w:r>
        <w:rPr>
          <w:rFonts w:cs="Times New Roman" w:ascii="Times New Roman" w:hAnsi="Times New Roman"/>
          <w:color w:val="111111"/>
          <w:sz w:val="24"/>
          <w:szCs w:val="24"/>
        </w:rPr>
        <w:t>Kauno Tirkiliškių mokykloje-darželyje (toliau – Įstaiga) diegiamų vidinių inform</w:t>
      </w:r>
      <w:r>
        <w:rPr>
          <w:rFonts w:cs="Times New Roman" w:ascii="Times New Roman" w:hAnsi="Times New Roman"/>
          <w:sz w:val="24"/>
          <w:szCs w:val="24"/>
        </w:rPr>
        <w:t>acijos apie pažeidimus teikimo kanalų reikalavimai, jų funkcionavimas, informacijos apie pažeidimus teikimo kanalų reikalavimai, jų funkcionavimas, informacijos apie pažeidimus teikimas, tyrimas, tvarkymas ir konfidencialumo užtikrinimas įstaigoje.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Apraše vartojamos sąvokos: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informacija apie pažeidimą –</w:t>
      </w:r>
      <w:r>
        <w:rPr>
          <w:rFonts w:cs="Times New Roman" w:ascii="Times New Roman" w:hAnsi="Times New Roman"/>
          <w:sz w:val="24"/>
          <w:szCs w:val="24"/>
        </w:rPr>
        <w:t xml:space="preserve"> vidinių informacijos apie pažeidimus teikimo kanalu arba kompetentingai institucijai tiesiogiai arba viešai teikiama asmens informacija apie šios tvarkos 2.4 dalyje nustatytus požymius atitinkantį pažeidimą;</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 xml:space="preserve">Kompetentingas subjektas (asmuo) </w:t>
      </w:r>
      <w:r>
        <w:rPr>
          <w:rFonts w:cs="Times New Roman" w:ascii="Times New Roman" w:hAnsi="Times New Roman"/>
          <w:sz w:val="24"/>
          <w:szCs w:val="24"/>
        </w:rPr>
        <w:t>– Įstaigoje paskirtas asmuo, asmenų grupė ar specialus padalinys, kurie administruoja vidinius informacijos apie pažeidimus teikimo kanalus, nagrinėja jais gautą informaciją apie pažeidimus, užtikrina asmens, pateikusio informaciją apie  pažeidimus, konfidencialumą;</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Konfidencialumas</w:t>
      </w:r>
      <w:r>
        <w:rPr>
          <w:rFonts w:cs="Times New Roman" w:ascii="Times New Roman" w:hAnsi="Times New Roman"/>
          <w:sz w:val="24"/>
          <w:szCs w:val="24"/>
        </w:rPr>
        <w:t xml:space="preserve"> – Įstaigos bei jos darbuotojų veiklos principas, kuriuo užtikrinama, kad informacija apie pažeidimą pateikusio asmens duomenys ir kita ji tiesiogiai ar netiesiogiai identifikuoti leidžianti informacija tvarkoma tik darbo funkcijų atlikimo tikslais ir kad ši informacija neatskleidžiama tretiesiems asmenims, išskyrus Lietuvos pranešėjų apsaugos įstatyme numatytus atvejus;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Pažeidimas</w:t>
      </w:r>
      <w:r>
        <w:rPr>
          <w:rFonts w:cs="Times New Roman" w:ascii="Times New Roman" w:hAnsi="Times New Roman"/>
          <w:sz w:val="24"/>
          <w:szCs w:val="24"/>
        </w:rPr>
        <w:t xml:space="preserve"> – Įstaigoje galbūt rengiama, daroma ar padaryta nusikalstama veikia, administracinis nusižengimas, tarnybinis nusižengimas ar darbo pareigų pažeidimas, taip pat šiurkštus privalomų profesinės etikos normų pažeidimas ar kitas grėsmę viešajam interesui keliantis arba jį pažeidžiantis teisės pažeidimas, apie kuriuos pranešėjas sužino iš savo turimų ar turėtų tarnybos, darbo santykių arba sutartinių santykių su šia Įstaiga;</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Pranešėjas</w:t>
      </w:r>
      <w:r>
        <w:rPr>
          <w:rFonts w:cs="Times New Roman" w:ascii="Times New Roman" w:hAnsi="Times New Roman"/>
          <w:sz w:val="24"/>
          <w:szCs w:val="24"/>
        </w:rPr>
        <w:t xml:space="preserve"> – asmuo, kuris pateikia informaciją apie pažeidimą Įstaigoje, su kuria jį sieja ar siejo darbo santykiai arba sutartiniai santykiai ir kurį kompetentinga institucija pripažįsta pranešėju;</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Pranešimas</w:t>
      </w:r>
      <w:r>
        <w:rPr>
          <w:rFonts w:cs="Times New Roman" w:ascii="Times New Roman" w:hAnsi="Times New Roman"/>
          <w:sz w:val="24"/>
          <w:szCs w:val="24"/>
        </w:rPr>
        <w:t xml:space="preserve"> – šiame Apraše nustatytos formos reikalavimus atitinkantis kreipimasis į kompetentingą subjektą, kuriame pateikiama konkreti informacija apie pažeidimą, atitinkantį šio Aprašo 2.4 punkte nustatytus požymius;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b/>
          <w:sz w:val="24"/>
          <w:szCs w:val="24"/>
        </w:rPr>
        <w:t>Vidinis informacijos apie pažeidimus teikimo kanalas</w:t>
      </w:r>
      <w:r>
        <w:rPr>
          <w:rFonts w:cs="Times New Roman" w:ascii="Times New Roman" w:hAnsi="Times New Roman"/>
          <w:sz w:val="24"/>
          <w:szCs w:val="24"/>
        </w:rPr>
        <w:t xml:space="preserve"> – Įstaigoje nustatyta tvarka sukurta ir taikoma informacijos apie pažeidimus šioje Įstaigoje teikimo, tyrimo ir asmens informavimo procedūra.</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II SKYRIUS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BENDRIEJI VIDINIŲ INFORMACIJOS APIE PAŽEIDIMUS TEIKIMO KANALŲ REIKALAVIMAI</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Vidiniai informacijos apie pažeidimus teikimo kanalai (toliau – vidiniai kanalai) diegiami visose savivaldybės įstaigose.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Įstaigose, kuriose dirba 50 ir daugiau darbuotojų, privalo būti diegiami vidiniai kanalai.</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III SKYRIUS</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INFORMACIJOS APIE PAŽEIDIMĄ TEIKIMAS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Įstaigoje galimybė apie pažeidimą pranešti vidiniu kanalu turi būti užtikrinta bet kuriam asmeniui, kurį su Įstaiga sieja ar siejo tarnybos ar darbo santykiai, sutartiniai santykiai ir pan.</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Pagrindas teikti informaciją apie pažeidimą – ją teikiančio asmens turima informacija apie pažeidimą Įstaigoje.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Asmuo, teikiantis informaciją apie pažeidimą vidiniu kanalu, neprivalo būti visiškai įsitikinęs apie pranešimų faktų tikrumą, jam nekyla pareiga vertinti, ar pažeidimas, apie kurį praneša, atitinka nusikalstamų veikų ar kitų teisės pažeidimų, kaip jie apibrėžti teisės aktuose, požymius.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IV SKYRIUS</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KOMPETENTINGAS SUBJEKTAS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Įstaigos vadovas paskiria kompetentingą asmenį, kuris Įstaigoje administruoja vidinį kanalą, kurio reputacija nekelia abejonių dėl galimybių tinkamai įgyvendinti Aprašo nuostatas. Aprašo reikalavimus įgyvendinančiam kompetentingam asmeniui negali būti daromas poveikis ar kitaip trukdoma atlikti jam šiame Apraše priskirtas funkcijas.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Kompetentingas asmuo, įgyvendindamas Aprašo reikalavimus, atlieka šias funkcijas: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sz w:val="24"/>
          <w:szCs w:val="24"/>
        </w:rPr>
        <w:t>analizuoja ir tvirtina vidiniu kanalu gautą informaciją apie pažeidimus;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sz w:val="24"/>
          <w:szCs w:val="24"/>
        </w:rPr>
        <w:t>užtikrina vidiniu kanalu informaciją apie pažeidimą pateikusio asmens konfidencialumą;</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sz w:val="24"/>
          <w:szCs w:val="24"/>
        </w:rPr>
        <w:t>renka ir kaupia nuasmenintus statistinius duomenis apie gautų pranešimų skaičių ir jų nagrinėjimo rezultatus;</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sz w:val="24"/>
          <w:szCs w:val="24"/>
        </w:rPr>
        <w:t>atlieka kitas Apraše nustatytas funkcijas.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Kompetentingas asmuo, vykdydamas jam paskirtas funkcijas, turi teisę:</w:t>
      </w:r>
    </w:p>
    <w:p>
      <w:pPr>
        <w:pStyle w:val="ListParagraph"/>
        <w:numPr>
          <w:ilvl w:val="1"/>
          <w:numId w:val="2"/>
        </w:numPr>
        <w:jc w:val="both"/>
        <w:rPr>
          <w:rFonts w:ascii="Times New Roman" w:hAnsi="Times New Roman" w:cs="Times New Roman"/>
          <w:sz w:val="24"/>
          <w:szCs w:val="24"/>
        </w:rPr>
      </w:pPr>
      <w:r>
        <w:rPr>
          <w:rFonts w:cs="Times New Roman" w:ascii="Times New Roman" w:hAnsi="Times New Roman"/>
          <w:sz w:val="24"/>
          <w:szCs w:val="24"/>
        </w:rPr>
        <w:t>gauti reikiamą informaciją ir duomenis iš jam nepavaldžių Įstaigos darbuotojų, padalinių;</w:t>
      </w:r>
    </w:p>
    <w:p>
      <w:pPr>
        <w:pStyle w:val="ListParagraph"/>
        <w:numPr>
          <w:ilvl w:val="1"/>
          <w:numId w:val="1"/>
        </w:numPr>
        <w:jc w:val="both"/>
        <w:rPr>
          <w:rFonts w:ascii="Times New Roman" w:hAnsi="Times New Roman" w:cs="Times New Roman"/>
          <w:sz w:val="24"/>
          <w:szCs w:val="24"/>
        </w:rPr>
      </w:pPr>
      <w:r>
        <w:rPr>
          <w:rFonts w:cs="Times New Roman" w:ascii="Times New Roman" w:hAnsi="Times New Roman"/>
          <w:sz w:val="24"/>
          <w:szCs w:val="24"/>
        </w:rPr>
        <w:t>tirdamas vidiniu kanalu gautą informaciją apie pažeidimą priimti su tyrimo atlikimu susijusius sprendimus, kurie yra privalomi visiems Įstaigos darbuotojams.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Informacija apie paskirtą kompetentingą asmenį, jo kontaktus, taip pat apie informacijos apie pažeidimus teikimo ir nagrinėjimo Įstaigoje procedūrą teikiama Įstaigos vidiniais ir išoriniais komunikavimo kanalais.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V SKYRIUS</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INFORMACIJOS APIE PAŽEIDIMUS TEIKIMO BŪDAI IR NAGRINĖJIMAS</w:t>
      </w:r>
    </w:p>
    <w:p>
      <w:pPr>
        <w:pStyle w:val="ListParagraph"/>
        <w:numPr>
          <w:ilvl w:val="0"/>
          <w:numId w:val="1"/>
        </w:numPr>
        <w:jc w:val="both"/>
        <w:rPr/>
      </w:pPr>
      <w:r>
        <w:rPr>
          <w:rFonts w:cs="Times New Roman" w:ascii="Times New Roman" w:hAnsi="Times New Roman"/>
          <w:sz w:val="24"/>
          <w:szCs w:val="24"/>
        </w:rPr>
        <w:t xml:space="preserve">Įstaigoje įdiegiamas vidinis pranešimų kanalas, kuriame informaciją apie pažeidimus galima teikti kompetentingam asmeniui asmeniškai arba el. paštu </w:t>
      </w:r>
      <w:hyperlink r:id="rId2">
        <w:r>
          <w:rPr>
            <w:rStyle w:val="InternetLink"/>
            <w:rFonts w:cs="Times New Roman" w:ascii="Times New Roman" w:hAnsi="Times New Roman"/>
            <w:color w:val="111111"/>
            <w:sz w:val="24"/>
            <w:szCs w:val="24"/>
          </w:rPr>
          <w:t>tirkiliskiumd@tirkiliskiupradine.lt</w:t>
        </w:r>
      </w:hyperlink>
      <w:r>
        <w:rPr>
          <w:rFonts w:cs="Times New Roman" w:ascii="Times New Roman" w:hAnsi="Times New Roman"/>
          <w:color w:val="111111"/>
          <w:sz w:val="24"/>
          <w:szCs w:val="24"/>
        </w:rPr>
        <w:t xml:space="preserve"> .</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Informaciją apie pažeidimą teikiantis asmuo turi teisę teikti informaciją vidiniu kanalu – užpildyti nustatytos formos pranešimą apie pažeidimą (Aprašo 1 priedas) arba apie pažeidimą pranešti laisvos formos pranešimu, kuriame turi būti pateikta Aprašo 14 punkte nurodyta informacija. Pranešimo formoje prašomi pateikti asmens duomenys reikalingi identifikuoti asmenį sprendžiant klausimą dėl pranešėjo statuso jam suteikimo ir yra saugomi ne trumpiau kaip trejus metus nuo jų gavimo dienos.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Informaciją apie pažeidimą teikiantis asmuo nurodo:</w:t>
      </w:r>
    </w:p>
    <w:p>
      <w:pPr>
        <w:pStyle w:val="ListParagraph"/>
        <w:numPr>
          <w:ilvl w:val="1"/>
          <w:numId w:val="3"/>
        </w:numPr>
        <w:spacing w:before="0" w:after="0"/>
        <w:contextualSpacing/>
        <w:jc w:val="both"/>
        <w:rPr>
          <w:rFonts w:ascii="Times New Roman" w:hAnsi="Times New Roman" w:cs="Times New Roman"/>
          <w:sz w:val="24"/>
          <w:szCs w:val="24"/>
        </w:rPr>
      </w:pPr>
      <w:r>
        <w:rPr>
          <w:rFonts w:cs="Times New Roman" w:ascii="Times New Roman" w:hAnsi="Times New Roman"/>
          <w:sz w:val="24"/>
          <w:szCs w:val="24"/>
        </w:rPr>
        <w:t>kas, kada, kokiu būdu ir kokį pažeidimą padarė, daro ar rengiasi daryti ir pan.;</w:t>
      </w:r>
    </w:p>
    <w:p>
      <w:pPr>
        <w:pStyle w:val="ListParagraph"/>
        <w:numPr>
          <w:ilvl w:val="1"/>
          <w:numId w:val="3"/>
        </w:numPr>
        <w:spacing w:before="0" w:after="0"/>
        <w:contextualSpacing/>
        <w:jc w:val="both"/>
        <w:rPr>
          <w:rFonts w:ascii="Times New Roman" w:hAnsi="Times New Roman" w:cs="Times New Roman"/>
          <w:sz w:val="24"/>
          <w:szCs w:val="24"/>
        </w:rPr>
      </w:pPr>
      <w:r>
        <w:rPr>
          <w:rFonts w:cs="Times New Roman" w:ascii="Times New Roman" w:hAnsi="Times New Roman"/>
          <w:sz w:val="24"/>
          <w:szCs w:val="24"/>
        </w:rPr>
        <w:t>sužinojimo apie pažeidimą data ir aplinkybės;</w:t>
      </w:r>
    </w:p>
    <w:p>
      <w:pPr>
        <w:pStyle w:val="ListParagraph"/>
        <w:numPr>
          <w:ilvl w:val="1"/>
          <w:numId w:val="3"/>
        </w:numPr>
        <w:spacing w:before="0" w:after="0"/>
        <w:contextualSpacing/>
        <w:jc w:val="both"/>
        <w:rPr>
          <w:rFonts w:ascii="Times New Roman" w:hAnsi="Times New Roman" w:cs="Times New Roman"/>
          <w:sz w:val="24"/>
          <w:szCs w:val="24"/>
        </w:rPr>
      </w:pPr>
      <w:r>
        <w:rPr>
          <w:rFonts w:cs="Times New Roman" w:ascii="Times New Roman" w:hAnsi="Times New Roman"/>
          <w:sz w:val="24"/>
          <w:szCs w:val="24"/>
        </w:rPr>
        <w:t>savo vardą, pavardę, asmens kodą, kitus kontaktinius duomenis;</w:t>
      </w:r>
    </w:p>
    <w:p>
      <w:pPr>
        <w:pStyle w:val="ListParagraph"/>
        <w:numPr>
          <w:ilvl w:val="1"/>
          <w:numId w:val="3"/>
        </w:numPr>
        <w:spacing w:before="0" w:after="0"/>
        <w:contextualSpacing/>
        <w:jc w:val="both"/>
        <w:rPr>
          <w:rFonts w:ascii="Times New Roman" w:hAnsi="Times New Roman" w:cs="Times New Roman"/>
          <w:sz w:val="24"/>
          <w:szCs w:val="24"/>
        </w:rPr>
      </w:pPr>
      <w:r>
        <w:rPr>
          <w:rFonts w:cs="Times New Roman" w:ascii="Times New Roman" w:hAnsi="Times New Roman"/>
          <w:sz w:val="24"/>
          <w:szCs w:val="24"/>
        </w:rPr>
        <w:t>jei įmanoma, pateikia bet kokius turimus dokumentus, duomenis ar informaciją, atskleidžiančią galimo pažeidimo požymius.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Įstaigoje nustatomos vidinės administracinės procedūros, užtikrinančios vidiniu kanalu gautos informacijos turinio ir kitų duomenų, leidžiančių identifikuoti informaciją apie pažeidimą pateikusį asmenį, konfidencialumą. Kompetentingas asmuo pasirašo Konfidencialumo pasižadėjimą (Aprašo 2 priedas).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Kompetentingas asmuo užtikrina, kad gauta informacija apie pažeidimą ir su tuo susiję duomenys būtų laikomi saugiai ir su jais galėtų susipažinti tik tokią teisę turintys informaciją apie pažeidimą nagrinėjantys asmenys.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Konfidencialumas užtikrinamas nepaisant gautos informacijos apie pažeidimą tyrimo rezultatų.</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Konfidencialumo užtikrinti nebūtina, kai to raštu prašo informaciją apie pažeidimą pateikęs asmuo arba jei jo informacija yra žinomai melaginga.</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Asmens pateikusio informaciją apie pažeidimą, duomenų ir kitos informacijos pateikimas ikiteisminio tyrimo ar kitoms pažeidimus tiriančioms kompetentingoms institucijoms, neatskleidžiant šių duomenų Įstaigoje, nelaikomas konfidencialumo pažeidimu. Kompetentingas asmuo, vidiniu kanalu gavęs informaciją apie pažeidimą, ja pateikusiam asmeniui pageidaujant nedelsdamas raštu informuoja šį asmenį apie tokios informacijos gavimo faktą.</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Jeigu gauta informacija leidžia pagrįstai manyti, kad yra rengiama, daroma ar padaryta nusikalstama veika, administracinis nusižengimas arba kitas pažeidimas, kompetentingas asmuo nedelsdamas, bet ne vėliau kaip per dvi darbo dienas nuo informacijos gavimo dienos, persiunčia gautą informaciją apie galimus pažeidimus tokią informaciją įgaliotai tirti institucijai be asmens, pateikusio informaciją apie pažeidimą, sutikimo ir apie tai informuoja šį asmenį.</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Kompetentingas asmuo per penkias darbo dienas po informacijos apie pažeidimą gavimo raštu informuoja informaciją pateikusį asmenį apie priimtą sprendimą dėl informacijos nagrinėjimo. Sprendimas nenagrinėti informaciją turi būti motyvuotas.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Asmuo, pateikęs informaciją apie pažeidimą, dėl jam galimo ar daromo neigiamo poveikio susijusios su informacijos apie pažeidimą pateikimo faktų, gali konsultuotis su kompetentingu asmeniu dėl savo teisių ginimo būdų ar priemonių, taip pat vadovaudamasis Pranešėjų apsaugos įstatymo 11 straipsnio 2 dalimi, gali pranešimu kreiptis į kompetentingą instituciją dėl jo pripažinimo pranešėju.</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Kompetentingas asmuo, baigęs nagrinėti informaciją apie pažeidimą, nedelsdamas raštu informuoja asmenį, pateikusi informaciją apie pažeidimą, apie priimtą sprendimą, nagrinėjimo rezultatus ir veiksmus, kurių buvo imtasi ar planuojama imtis, nurodo priimto sprendimo apskundimo tvarką. Nustačius pažeidimo padarymo faktą, kompetentingas asmuo informuoja informaciją apie pažeidimą pateikusį asmenį apie taikytą atsakomybę asmeniui, padariusiam nusižengimą.</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Jei informaciją apie pažeidimą pateikęs asmuo negavo atsakymo arba Įstaigoje nebuvo imtasi veiksmų reaguojant į pateiktą informaciją, jis, vadovaudamasis Pranešėjų apsaugos įstatymo 4 straipsnio 3 dalies 4 punktu, turi teisę tiesiogiai kreiptis į kompetentingą instituciją – Lietuvos Respublikos prokuratūrą ir pateikti nustatytos formos pranešimą apie pažeidimą. (Aprašo 1 priedas).</w:t>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t>VI SKYRIUS</w:t>
      </w:r>
    </w:p>
    <w:p>
      <w:pPr>
        <w:pStyle w:val="Normal"/>
        <w:jc w:val="center"/>
        <w:rPr>
          <w:rFonts w:ascii="Times New Roman" w:hAnsi="Times New Roman" w:cs="Times New Roman"/>
          <w:b/>
          <w:b/>
          <w:sz w:val="24"/>
          <w:szCs w:val="24"/>
        </w:rPr>
      </w:pPr>
      <w:r>
        <w:rPr>
          <w:rFonts w:cs="Times New Roman" w:ascii="Times New Roman" w:hAnsi="Times New Roman"/>
          <w:b/>
          <w:sz w:val="24"/>
          <w:szCs w:val="24"/>
        </w:rPr>
        <w:t>BAIGIAMOSIOS NUOSTATOS</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Visi Įstaigos darbuotojai su šiuo Aprašu yra supažindinami pasirašytinai.</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Asmenys, pažeidę Aprašo reikalavimus, atsako teisės aktų nustatyta tvarka.</w:t>
      </w:r>
    </w:p>
    <w:p>
      <w:pPr>
        <w:pStyle w:val="Normal"/>
        <w:jc w:val="center"/>
        <w:rPr>
          <w:rFonts w:ascii="Times New Roman" w:hAnsi="Times New Roman" w:cs="Times New Roman"/>
          <w:sz w:val="24"/>
          <w:szCs w:val="24"/>
        </w:rPr>
      </w:pPr>
      <w:r>
        <w:rPr>
          <w:rFonts w:cs="Times New Roman" w:ascii="Times New Roman" w:hAnsi="Times New Roman"/>
          <w:sz w:val="24"/>
          <w:szCs w:val="24"/>
        </w:rPr>
        <w:t>_____________________</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ind w:left="4820" w:hanging="0"/>
        <w:rPr>
          <w:rFonts w:ascii="Times New Roman" w:hAnsi="Times New Roman" w:cs="Times New Roman"/>
          <w:sz w:val="24"/>
          <w:szCs w:val="24"/>
          <w:lang w:eastAsia="ar-SA"/>
        </w:rPr>
      </w:pPr>
      <w:r>
        <w:rPr>
          <w:rFonts w:cs="Times New Roman" w:ascii="Times New Roman" w:hAnsi="Times New Roman"/>
          <w:sz w:val="24"/>
          <w:szCs w:val="24"/>
          <w:lang w:eastAsia="ar-SA"/>
        </w:rPr>
      </w:r>
    </w:p>
    <w:p>
      <w:pPr>
        <w:pStyle w:val="Normal"/>
        <w:spacing w:before="0" w:after="0"/>
        <w:rPr/>
      </w:pPr>
      <w:r>
        <w:rPr>
          <w:rFonts w:cs="Times New Roman" w:ascii="Times New Roman" w:hAnsi="Times New Roman"/>
          <w:sz w:val="24"/>
          <w:szCs w:val="24"/>
          <w:lang w:eastAsia="ar-SA"/>
        </w:rPr>
        <w:t xml:space="preserve">                                                                         </w:t>
      </w:r>
      <w:r>
        <w:rPr>
          <w:rFonts w:cs="Times New Roman" w:ascii="Times New Roman" w:hAnsi="Times New Roman"/>
          <w:color w:val="FF0000"/>
          <w:sz w:val="24"/>
          <w:szCs w:val="24"/>
          <w:lang w:eastAsia="ar-SA"/>
        </w:rPr>
        <w:t xml:space="preserve"> </w:t>
      </w:r>
      <w:r>
        <w:rPr>
          <w:rFonts w:cs="Times New Roman" w:ascii="Times New Roman" w:hAnsi="Times New Roman"/>
          <w:color w:val="111111"/>
          <w:sz w:val="24"/>
          <w:szCs w:val="24"/>
          <w:lang w:eastAsia="ar-SA"/>
        </w:rPr>
        <w:t>Kauno Tirkiliškių mokytklos-darželio Vidinių</w:t>
      </w:r>
    </w:p>
    <w:p>
      <w:pPr>
        <w:pStyle w:val="Normal"/>
        <w:spacing w:before="0" w:after="0"/>
        <w:rPr>
          <w:rFonts w:ascii="Times New Roman" w:hAnsi="Times New Roman" w:cs="Times New Roman"/>
          <w:color w:val="FF0000"/>
          <w:sz w:val="24"/>
          <w:szCs w:val="24"/>
          <w:lang w:eastAsia="ar-SA"/>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 xml:space="preserve">informacijos apie pažeidimus teikimo kanalų </w:t>
      </w:r>
    </w:p>
    <w:p>
      <w:pPr>
        <w:pStyle w:val="Normal"/>
        <w:spacing w:before="0" w:after="0"/>
        <w:rPr>
          <w:rFonts w:ascii="Times New Roman" w:hAnsi="Times New Roman" w:cs="Times New Roman"/>
          <w:color w:val="FF0000"/>
          <w:sz w:val="24"/>
          <w:szCs w:val="24"/>
          <w:lang w:eastAsia="ar-SA"/>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įdiegimo ir jų funkcionavimo užtikrinimo tvarkos</w:t>
      </w:r>
    </w:p>
    <w:p>
      <w:pPr>
        <w:pStyle w:val="Normal"/>
        <w:spacing w:before="0" w:after="0"/>
        <w:rPr>
          <w:color w:val="111111"/>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 xml:space="preserve">aprašo, </w:t>
      </w:r>
      <w:r>
        <w:rPr>
          <w:rFonts w:cs="Times New Roman" w:ascii="Times New Roman" w:hAnsi="Times New Roman"/>
          <w:color w:val="111111"/>
          <w:sz w:val="24"/>
          <w:szCs w:val="24"/>
          <w:lang w:eastAsia="lt-LT"/>
        </w:rPr>
        <w:t xml:space="preserve">patvirtinto 2019 m. rugsėjo 23 d. direktoriaus </w:t>
      </w:r>
    </w:p>
    <w:p>
      <w:pPr>
        <w:pStyle w:val="Normal"/>
        <w:spacing w:before="0" w:after="0"/>
        <w:rPr/>
      </w:pPr>
      <w:r>
        <w:rPr>
          <w:rFonts w:cs="Times New Roman" w:ascii="Times New Roman" w:hAnsi="Times New Roman"/>
          <w:color w:val="111111"/>
          <w:sz w:val="24"/>
          <w:szCs w:val="24"/>
          <w:lang w:eastAsia="lt-LT"/>
        </w:rPr>
        <w:t xml:space="preserve">                                                                          </w:t>
      </w:r>
      <w:r>
        <w:rPr>
          <w:rFonts w:cs="Times New Roman" w:ascii="Times New Roman" w:hAnsi="Times New Roman"/>
          <w:color w:val="111111"/>
          <w:sz w:val="24"/>
          <w:szCs w:val="24"/>
        </w:rPr>
        <w:t>įsakymu</w:t>
      </w: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rPr>
        <w:t>Nr. V-</w:t>
      </w:r>
      <w:r>
        <w:rPr>
          <w:rFonts w:cs="Times New Roman" w:ascii="Times New Roman" w:hAnsi="Times New Roman"/>
          <w:color w:val="111111"/>
          <w:sz w:val="24"/>
          <w:szCs w:val="24"/>
        </w:rPr>
        <w:t>36</w:t>
      </w:r>
    </w:p>
    <w:p>
      <w:pPr>
        <w:pStyle w:val="Normal"/>
        <w:spacing w:before="0" w:after="0"/>
        <w:rPr>
          <w:rFonts w:ascii="Times New Roman" w:hAnsi="Times New Roman" w:cs="Times New Roman"/>
          <w:color w:val="FF0000"/>
          <w:sz w:val="24"/>
          <w:szCs w:val="24"/>
          <w:lang w:val="en-GB"/>
        </w:rPr>
      </w:pPr>
      <w:r>
        <w:rPr>
          <w:rFonts w:cs="Times New Roman" w:ascii="Times New Roman" w:hAnsi="Times New Roman"/>
          <w:color w:val="111111"/>
          <w:sz w:val="24"/>
          <w:szCs w:val="24"/>
          <w:lang w:eastAsia="lt-LT"/>
        </w:rPr>
        <w:t xml:space="preserve">                                                                          </w:t>
      </w:r>
      <w:r>
        <w:rPr>
          <w:rFonts w:cs="Times New Roman" w:ascii="Times New Roman" w:hAnsi="Times New Roman"/>
          <w:color w:val="111111"/>
          <w:sz w:val="24"/>
          <w:szCs w:val="24"/>
          <w:lang w:eastAsia="lt-LT"/>
        </w:rPr>
        <w:t xml:space="preserve">1 priedas </w:t>
      </w:r>
    </w:p>
    <w:p>
      <w:pPr>
        <w:pStyle w:val="Normal"/>
        <w:tabs>
          <w:tab w:val="clear" w:pos="1296"/>
          <w:tab w:val="left" w:pos="851" w:leader="none"/>
          <w:tab w:val="left" w:pos="4961" w:leader="none"/>
        </w:tabs>
        <w:suppressAutoHyphens w:val="true"/>
        <w:jc w:val="center"/>
        <w:rPr>
          <w:rFonts w:ascii="Times New Roman" w:hAnsi="Times New Roman" w:cs="Times New Roman"/>
          <w:b/>
          <w:b/>
          <w:sz w:val="24"/>
          <w:szCs w:val="24"/>
        </w:rPr>
      </w:pPr>
      <w:r>
        <w:rPr>
          <w:rFonts w:cs="Times New Roman" w:ascii="Times New Roman" w:hAnsi="Times New Roman"/>
          <w:b/>
          <w:sz w:val="24"/>
          <w:szCs w:val="24"/>
        </w:rPr>
      </w:r>
    </w:p>
    <w:p>
      <w:pPr>
        <w:pStyle w:val="Normal"/>
        <w:tabs>
          <w:tab w:val="clear" w:pos="1296"/>
          <w:tab w:val="left" w:pos="993" w:leader="none"/>
          <w:tab w:val="left" w:pos="5103" w:leader="none"/>
        </w:tabs>
        <w:suppressAutoHyphens w:val="true"/>
        <w:jc w:val="center"/>
        <w:rPr>
          <w:rFonts w:ascii="Times New Roman" w:hAnsi="Times New Roman" w:cs="Times New Roman"/>
          <w:b/>
          <w:b/>
          <w:sz w:val="24"/>
          <w:szCs w:val="24"/>
        </w:rPr>
      </w:pPr>
      <w:r>
        <w:rPr>
          <w:rFonts w:cs="Times New Roman" w:ascii="Times New Roman" w:hAnsi="Times New Roman"/>
          <w:b/>
          <w:sz w:val="24"/>
          <w:szCs w:val="24"/>
        </w:rPr>
        <w:t>PRANEŠIMAS APIE PAŽEIDIMĄ</w:t>
      </w:r>
    </w:p>
    <w:p>
      <w:pPr>
        <w:pStyle w:val="Normal"/>
        <w:jc w:val="center"/>
        <w:rPr>
          <w:rFonts w:ascii="Times New Roman" w:hAnsi="Times New Roman" w:eastAsia="Lucida Sans Unicode" w:cs="Times New Roman"/>
          <w:sz w:val="24"/>
          <w:szCs w:val="24"/>
        </w:rPr>
      </w:pPr>
      <w:r>
        <w:rPr>
          <w:rFonts w:eastAsia="Lucida Sans Unicode" w:cs="Times New Roman" w:ascii="Times New Roman" w:hAnsi="Times New Roman"/>
          <w:sz w:val="24"/>
          <w:szCs w:val="24"/>
        </w:rPr>
        <w:t>20 ___ m. ______________ ___ d.</w:t>
      </w:r>
    </w:p>
    <w:p>
      <w:pPr>
        <w:pStyle w:val="Normal"/>
        <w:jc w:val="center"/>
        <w:rPr>
          <w:rFonts w:ascii="Times New Roman" w:hAnsi="Times New Roman" w:eastAsia="Lucida Sans Unicode" w:cs="Times New Roman"/>
          <w:sz w:val="24"/>
          <w:szCs w:val="24"/>
        </w:rPr>
      </w:pPr>
      <w:r>
        <w:rPr>
          <w:rFonts w:eastAsia="Lucida Sans Unicode" w:cs="Times New Roman" w:ascii="Times New Roman" w:hAnsi="Times New Roman"/>
          <w:sz w:val="24"/>
          <w:szCs w:val="24"/>
        </w:rPr>
        <w:t>____________________________</w:t>
      </w:r>
    </w:p>
    <w:p>
      <w:pPr>
        <w:pStyle w:val="Normal"/>
        <w:jc w:val="center"/>
        <w:rPr>
          <w:rFonts w:ascii="Times New Roman" w:hAnsi="Times New Roman" w:eastAsia="Lucida Sans Unicode" w:cs="Times New Roman"/>
          <w:sz w:val="24"/>
          <w:szCs w:val="24"/>
        </w:rPr>
      </w:pPr>
      <w:r>
        <w:rPr>
          <w:rFonts w:eastAsia="Lucida Sans Unicode" w:cs="Times New Roman" w:ascii="Times New Roman" w:hAnsi="Times New Roman"/>
          <w:sz w:val="24"/>
          <w:szCs w:val="24"/>
        </w:rPr>
        <w:t xml:space="preserve">Kaunas </w:t>
      </w:r>
    </w:p>
    <w:tbl>
      <w:tblPr>
        <w:tblW w:w="9045" w:type="dxa"/>
        <w:jc w:val="left"/>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13" w:type="dxa"/>
          <w:bottom w:w="0" w:type="dxa"/>
          <w:right w:w="108" w:type="dxa"/>
        </w:tblCellMar>
        <w:tblLook w:firstRow="1" w:noVBand="1" w:lastRow="0" w:firstColumn="1" w:lastColumn="0" w:noHBand="0" w:val="04a0"/>
      </w:tblPr>
      <w:tblGrid>
        <w:gridCol w:w="3379"/>
        <w:gridCol w:w="1317"/>
        <w:gridCol w:w="4348"/>
      </w:tblGrid>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7E6E6" w:val="clear"/>
          </w:tcPr>
          <w:p>
            <w:pPr>
              <w:pStyle w:val="Normal"/>
              <w:tabs>
                <w:tab w:val="clear" w:pos="1296"/>
                <w:tab w:val="left" w:pos="993" w:leader="none"/>
                <w:tab w:val="left" w:pos="5103" w:leader="none"/>
              </w:tabs>
              <w:suppressAutoHyphens w:val="true"/>
              <w:spacing w:before="0" w:after="0"/>
              <w:rPr>
                <w:rFonts w:ascii="Times New Roman" w:hAnsi="Times New Roman" w:cs="Times New Roman"/>
                <w:sz w:val="24"/>
                <w:szCs w:val="24"/>
              </w:rPr>
            </w:pPr>
            <w:r>
              <w:rPr>
                <w:rFonts w:cs="Times New Roman" w:ascii="Times New Roman" w:hAnsi="Times New Roman"/>
                <w:sz w:val="24"/>
                <w:szCs w:val="24"/>
              </w:rPr>
              <w:t>Asmens, pranešančio apie pažeidimą, duomenys</w:t>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 xml:space="preserve">Vardas, pavardė </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Asmens kodas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0"/>
              <w:rPr>
                <w:rFonts w:ascii="Times New Roman" w:hAnsi="Times New Roman" w:cs="Times New Roman"/>
                <w:sz w:val="24"/>
                <w:szCs w:val="24"/>
              </w:rPr>
            </w:pPr>
            <w:r>
              <w:rPr>
                <w:rFonts w:cs="Times New Roman" w:ascii="Times New Roman" w:hAnsi="Times New Roman"/>
                <w:sz w:val="24"/>
                <w:szCs w:val="24"/>
              </w:rPr>
              <w:t>Darbovietė (su įstaiga siejantys ar sieję tarnybos, darbo ar sutartiniai santykiai)</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Pareigos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Telefono Nr. (pastabos dėl susisiekimo)</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Asmeninis el. paštas arba gyvenamosios vietos adresas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7E6E6" w:val="clear"/>
          </w:tcPr>
          <w:p>
            <w:pPr>
              <w:pStyle w:val="Normal"/>
              <w:tabs>
                <w:tab w:val="clear" w:pos="1296"/>
                <w:tab w:val="left" w:pos="993" w:leader="none"/>
                <w:tab w:val="left" w:pos="5103" w:leader="none"/>
              </w:tabs>
              <w:suppressAutoHyphens w:val="true"/>
              <w:spacing w:before="0" w:after="0"/>
              <w:rPr>
                <w:rFonts w:ascii="Times New Roman" w:hAnsi="Times New Roman" w:cs="Times New Roman"/>
                <w:sz w:val="24"/>
                <w:szCs w:val="24"/>
              </w:rPr>
            </w:pPr>
            <w:r>
              <w:rPr>
                <w:rFonts w:cs="Times New Roman" w:ascii="Times New Roman" w:hAnsi="Times New Roman"/>
                <w:sz w:val="24"/>
                <w:szCs w:val="24"/>
              </w:rPr>
              <w:t>Informacija apie pažeidimą</w:t>
            </w:r>
          </w:p>
        </w:tc>
      </w:tr>
      <w:tr>
        <w:trPr>
          <w:trHeight w:val="766" w:hRule="atLeast"/>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1.</w:t>
              <w:tab/>
              <w:t>Apie kokį pažeidimą pranešate? Kokio pobūdžio tai pažeidimas?</w:t>
            </w:r>
          </w:p>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2.</w:t>
              <w:tab/>
              <w:t>Kas padarė šį pažeidimą? Kokie galėjo būti asmens motyvai darant pažeidimą?</w:t>
            </w:r>
          </w:p>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3.</w:t>
              <w:tab/>
              <w:t>Pažeidimo padarymo vieta, laikas.</w:t>
            </w:r>
          </w:p>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7E6E6"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Duomenys apie pažeidimą padariusį asmenį ar asmenis</w:t>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Vardas, pavardė</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Darbovietė</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Pareigos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rHeight w:val="996" w:hRule="atLeast"/>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304" w:leader="none"/>
                <w:tab w:val="left" w:pos="1022" w:leader="none"/>
                <w:tab w:val="left" w:pos="5132" w:leader="none"/>
              </w:tabs>
              <w:suppressAutoHyphens w:val="true"/>
              <w:spacing w:before="0" w:after="200"/>
              <w:ind w:left="29" w:hanging="0"/>
              <w:rPr>
                <w:rFonts w:ascii="Times New Roman" w:hAnsi="Times New Roman" w:cs="Times New Roman"/>
                <w:sz w:val="24"/>
                <w:szCs w:val="24"/>
              </w:rPr>
            </w:pPr>
            <w:r>
              <w:rPr>
                <w:rFonts w:cs="Times New Roman" w:ascii="Times New Roman" w:hAnsi="Times New Roman"/>
                <w:sz w:val="24"/>
                <w:szCs w:val="24"/>
              </w:rPr>
              <w:t>3.</w:t>
              <w:tab/>
              <w:t>Ar yra kitų asmenų, kurie dalyvavo ar galėjo dalyvauti darant pažeidimą? Jei taip, nurodykite, kas jie.</w:t>
            </w:r>
          </w:p>
        </w:tc>
      </w:tr>
      <w:tr>
        <w:trPr>
          <w:trHeight w:val="276" w:hRule="atLeast"/>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304"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4.</w:t>
              <w:tab/>
              <w:t>Ar yra kitų pažeidimo liudininkų? Jei taip, pateikite jų kontaktinius duomenis.</w:t>
            </w:r>
          </w:p>
        </w:tc>
      </w:tr>
      <w:tr>
        <w:trPr>
          <w:trHeight w:val="366" w:hRule="atLeast"/>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E7E6E6" w:val="clear"/>
          </w:tcPr>
          <w:p>
            <w:pPr>
              <w:pStyle w:val="Normal"/>
              <w:tabs>
                <w:tab w:val="clear" w:pos="1296"/>
                <w:tab w:val="left" w:pos="993" w:leader="none"/>
                <w:tab w:val="left" w:pos="5103" w:leader="none"/>
              </w:tabs>
              <w:suppressAutoHyphens w:val="true"/>
              <w:spacing w:before="0" w:after="0"/>
              <w:rPr>
                <w:rFonts w:ascii="Times New Roman" w:hAnsi="Times New Roman" w:cs="Times New Roman"/>
                <w:sz w:val="24"/>
                <w:szCs w:val="24"/>
              </w:rPr>
            </w:pPr>
            <w:r>
              <w:rPr>
                <w:rFonts w:cs="Times New Roman" w:ascii="Times New Roman" w:hAnsi="Times New Roman"/>
                <w:sz w:val="24"/>
                <w:szCs w:val="24"/>
              </w:rPr>
              <w:t>Duomenys apie pažeidimo liudininką ar liudininkus</w:t>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Vardas, pavardė</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Pareigos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Darbovietė</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Telefono Nr.</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3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El. paštas</w:t>
            </w:r>
          </w:p>
        </w:tc>
        <w:tc>
          <w:tcPr>
            <w:tcW w:w="566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b/>
                <w:b/>
                <w:sz w:val="24"/>
                <w:szCs w:val="24"/>
              </w:rPr>
            </w:pPr>
            <w:r>
              <w:rPr>
                <w:rFonts w:cs="Times New Roman" w:ascii="Times New Roman" w:hAnsi="Times New Roman"/>
                <w:b/>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5.</w:t>
              <w:tab/>
              <w:t>Kada pažeidimas buvo padarytas ir kada apie jį sužinojote arba jį pastebėjote?</w:t>
            </w:r>
          </w:p>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6.</w:t>
              <w:tab/>
              <w:t xml:space="preserve"> Kokius pažeidimą pagrindžiančius duomenis, galinčius padėti atlikti pažeidimo tyrimą, galėtumėte pateikti? Nurodykite pridedamus rašytinius ar kitus duomenis apie pažeidimą.</w:t>
            </w:r>
          </w:p>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7.</w:t>
              <w:tab/>
              <w:t>Ar apie šį pažeidimą jau esate kam nors pranešęs? Jei pranešėte, kam buvo pranešta ir ar gavote atsakymą? Jei gavote atsakymą, nurodykite jo esmę.</w:t>
            </w:r>
          </w:p>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t>8.</w:t>
              <w:tab/>
              <w:t>Papildomos pastabos ir komentarai.</w:t>
            </w:r>
          </w:p>
          <w:p>
            <w:pPr>
              <w:pStyle w:val="Normal"/>
              <w:tabs>
                <w:tab w:val="clear" w:pos="1296"/>
                <w:tab w:val="left" w:pos="342" w:leader="none"/>
                <w:tab w:val="left" w:pos="1022" w:leader="none"/>
                <w:tab w:val="left" w:pos="5132" w:leader="none"/>
              </w:tabs>
              <w:suppressAutoHyphens w:val="true"/>
              <w:spacing w:before="0" w:after="0"/>
              <w:ind w:left="29" w:hanging="0"/>
              <w:rPr>
                <w:rFonts w:ascii="Times New Roman" w:hAnsi="Times New Roman" w:cs="Times New Roman"/>
                <w:sz w:val="24"/>
                <w:szCs w:val="24"/>
              </w:rPr>
            </w:pPr>
            <w:r>
              <w:rPr>
                <w:rFonts w:cs="Times New Roman" w:ascii="Times New Roman" w:hAnsi="Times New Roman"/>
                <w:sz w:val="24"/>
                <w:szCs w:val="24"/>
              </w:rPr>
            </w:r>
          </w:p>
        </w:tc>
      </w:tr>
      <w:tr>
        <w:trPr/>
        <w:tc>
          <w:tcPr>
            <w:tcW w:w="904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993" w:leader="none"/>
                <w:tab w:val="left" w:pos="5103" w:leader="none"/>
              </w:tabs>
              <w:suppressAutoHyphens w:val="true"/>
              <w:rPr>
                <w:rFonts w:ascii="Times New Roman" w:hAnsi="Times New Roman" w:cs="Times New Roman"/>
                <w:sz w:val="24"/>
                <w:szCs w:val="24"/>
              </w:rPr>
            </w:pPr>
            <w:r>
              <w:rPr>
                <w:rFonts w:cs="Times New Roman" w:ascii="Times New Roman" w:hAnsi="Times New Roman"/>
                <w:sz w:val="24"/>
                <w:szCs w:val="24"/>
              </w:rPr>
            </w:r>
          </w:p>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eastAsia="Times New Roman" w:cs="Times New Roman" w:ascii="Times New Roman" w:hAnsi="Times New Roman"/>
                <w:sz w:val="24"/>
                <w:szCs w:val="24"/>
              </w:rPr>
              <w:t></w:t>
            </w:r>
            <w:r>
              <w:rPr>
                <w:rFonts w:cs="Times New Roman" w:ascii="Times New Roman" w:hAnsi="Times New Roman"/>
                <w:sz w:val="24"/>
                <w:szCs w:val="24"/>
              </w:rPr>
              <w:t xml:space="preserve"> </w:t>
            </w:r>
            <w:r>
              <w:rPr>
                <w:rFonts w:cs="Times New Roman" w:ascii="Times New Roman" w:hAnsi="Times New Roman"/>
                <w:sz w:val="24"/>
                <w:szCs w:val="24"/>
              </w:rPr>
              <w:t>Patvirtinu, kad esu susipažinęs su teisinėmis pasekmėmis už melagingos informacijos teikimą, o mano teikiama informacija yra teisinga.</w:t>
            </w:r>
          </w:p>
        </w:tc>
      </w:tr>
      <w:tr>
        <w:trPr/>
        <w:tc>
          <w:tcPr>
            <w:tcW w:w="469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t>Data</w:t>
            </w:r>
          </w:p>
        </w:tc>
        <w:tc>
          <w:tcPr>
            <w:tcW w:w="43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tabs>
                <w:tab w:val="clear" w:pos="1296"/>
                <w:tab w:val="left" w:pos="993" w:leader="none"/>
                <w:tab w:val="left" w:pos="5103" w:leader="none"/>
              </w:tabs>
              <w:suppressAutoHyphens w:val="true"/>
              <w:rPr>
                <w:rFonts w:ascii="Times New Roman" w:hAnsi="Times New Roman" w:cs="Times New Roman"/>
                <w:sz w:val="24"/>
                <w:szCs w:val="24"/>
              </w:rPr>
            </w:pPr>
            <w:r>
              <w:rPr>
                <w:rFonts w:cs="Times New Roman" w:ascii="Times New Roman" w:hAnsi="Times New Roman"/>
                <w:sz w:val="24"/>
                <w:szCs w:val="24"/>
              </w:rPr>
              <w:t>Parašas</w:t>
            </w:r>
          </w:p>
          <w:p>
            <w:pPr>
              <w:pStyle w:val="Normal"/>
              <w:tabs>
                <w:tab w:val="clear" w:pos="1296"/>
                <w:tab w:val="left" w:pos="993" w:leader="none"/>
                <w:tab w:val="left" w:pos="5103" w:leader="none"/>
              </w:tabs>
              <w:suppressAutoHyphens w:val="true"/>
              <w:rPr>
                <w:rFonts w:ascii="Times New Roman" w:hAnsi="Times New Roman" w:cs="Times New Roman"/>
                <w:sz w:val="24"/>
                <w:szCs w:val="24"/>
              </w:rPr>
            </w:pPr>
            <w:r>
              <w:rPr>
                <w:rFonts w:cs="Times New Roman" w:ascii="Times New Roman" w:hAnsi="Times New Roman"/>
                <w:sz w:val="24"/>
                <w:szCs w:val="24"/>
              </w:rPr>
            </w:r>
          </w:p>
          <w:p>
            <w:pPr>
              <w:pStyle w:val="Normal"/>
              <w:tabs>
                <w:tab w:val="clear" w:pos="1296"/>
                <w:tab w:val="left" w:pos="993" w:leader="none"/>
                <w:tab w:val="left" w:pos="5103" w:leader="none"/>
              </w:tabs>
              <w:suppressAutoHyphens w:val="true"/>
              <w:spacing w:before="0" w:after="200"/>
              <w:rPr>
                <w:rFonts w:ascii="Times New Roman" w:hAnsi="Times New Roman" w:cs="Times New Roman"/>
                <w:sz w:val="24"/>
                <w:szCs w:val="24"/>
              </w:rPr>
            </w:pPr>
            <w:r>
              <w:rPr>
                <w:rFonts w:cs="Times New Roman" w:ascii="Times New Roman" w:hAnsi="Times New Roman"/>
                <w:sz w:val="24"/>
                <w:szCs w:val="24"/>
              </w:rPr>
            </w:r>
          </w:p>
        </w:tc>
      </w:tr>
    </w:tbl>
    <w:p>
      <w:pPr>
        <w:pStyle w:val="Normal"/>
        <w:tabs>
          <w:tab w:val="clear" w:pos="1296"/>
          <w:tab w:val="center" w:pos="-7800" w:leader="none"/>
          <w:tab w:val="left" w:pos="6237" w:leader="none"/>
          <w:tab w:val="right" w:pos="8306" w:leader="none"/>
        </w:tabs>
        <w:rPr>
          <w:rFonts w:ascii="Times New Roman" w:hAnsi="Times New Roman" w:cs="Times New Roman"/>
          <w:sz w:val="24"/>
          <w:szCs w:val="24"/>
          <w:lang w:eastAsia="lt-LT"/>
        </w:rPr>
      </w:pPr>
      <w:r>
        <w:rPr>
          <w:rFonts w:cs="Times New Roman" w:ascii="Times New Roman" w:hAnsi="Times New Roman"/>
          <w:sz w:val="24"/>
          <w:szCs w:val="24"/>
          <w:lang w:eastAsia="lt-LT"/>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0" w:after="0"/>
        <w:rPr/>
      </w:pPr>
      <w:r>
        <w:rPr>
          <w:rFonts w:cs="Times New Roman" w:ascii="Times New Roman" w:hAnsi="Times New Roman"/>
          <w:sz w:val="24"/>
          <w:szCs w:val="24"/>
          <w:lang w:eastAsia="ar-SA"/>
        </w:rPr>
        <w:t xml:space="preserve">                                                                          </w:t>
      </w:r>
      <w:r>
        <w:rPr>
          <w:rFonts w:cs="Times New Roman" w:ascii="Times New Roman" w:hAnsi="Times New Roman"/>
          <w:sz w:val="24"/>
          <w:szCs w:val="24"/>
          <w:lang w:eastAsia="ar-SA"/>
        </w:rPr>
        <w:t>Kauno Tirkiliškių mokyklos-darželio</w:t>
      </w:r>
      <w:r>
        <w:rPr>
          <w:rFonts w:cs="Times New Roman" w:ascii="Times New Roman" w:hAnsi="Times New Roman"/>
          <w:color w:val="FF0000"/>
          <w:sz w:val="24"/>
          <w:szCs w:val="24"/>
          <w:lang w:eastAsia="ar-SA"/>
        </w:rPr>
        <w:t xml:space="preserve"> </w:t>
      </w:r>
      <w:r>
        <w:rPr>
          <w:rFonts w:cs="Times New Roman" w:ascii="Times New Roman" w:hAnsi="Times New Roman"/>
          <w:color w:val="111111"/>
          <w:sz w:val="24"/>
          <w:szCs w:val="24"/>
          <w:lang w:eastAsia="ar-SA"/>
        </w:rPr>
        <w:t xml:space="preserve"> Vidinių </w:t>
      </w:r>
    </w:p>
    <w:p>
      <w:pPr>
        <w:pStyle w:val="Normal"/>
        <w:spacing w:before="0" w:after="0"/>
        <w:rPr>
          <w:rFonts w:ascii="Times New Roman" w:hAnsi="Times New Roman" w:cs="Times New Roman"/>
          <w:color w:val="FF0000"/>
          <w:sz w:val="24"/>
          <w:szCs w:val="24"/>
          <w:lang w:eastAsia="ar-SA"/>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 xml:space="preserve">informacijos apie pažeidimus teikimo kanalų </w:t>
      </w:r>
    </w:p>
    <w:p>
      <w:pPr>
        <w:pStyle w:val="Normal"/>
        <w:spacing w:before="0" w:after="0"/>
        <w:rPr>
          <w:rFonts w:ascii="Times New Roman" w:hAnsi="Times New Roman" w:cs="Times New Roman"/>
          <w:color w:val="FF0000"/>
          <w:sz w:val="24"/>
          <w:szCs w:val="24"/>
          <w:lang w:eastAsia="ar-SA"/>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įdiegimo ir jų funkcionavimo užtikrinimo tvarkos</w:t>
      </w:r>
    </w:p>
    <w:p>
      <w:pPr>
        <w:pStyle w:val="Normal"/>
        <w:spacing w:before="0" w:after="0"/>
        <w:rPr>
          <w:color w:val="111111"/>
        </w:rPr>
      </w:pP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lang w:eastAsia="ar-SA"/>
        </w:rPr>
        <w:t xml:space="preserve">aprašo, </w:t>
      </w:r>
      <w:r>
        <w:rPr>
          <w:rFonts w:cs="Times New Roman" w:ascii="Times New Roman" w:hAnsi="Times New Roman"/>
          <w:color w:val="111111"/>
          <w:sz w:val="24"/>
          <w:szCs w:val="24"/>
          <w:lang w:eastAsia="lt-LT"/>
        </w:rPr>
        <w:t xml:space="preserve">patvirtinto 2019 m. rugsėjo 23  d. direktoriaus </w:t>
      </w:r>
    </w:p>
    <w:p>
      <w:pPr>
        <w:pStyle w:val="Normal"/>
        <w:spacing w:before="0" w:after="0"/>
        <w:rPr/>
      </w:pPr>
      <w:r>
        <w:rPr>
          <w:rFonts w:cs="Times New Roman" w:ascii="Times New Roman" w:hAnsi="Times New Roman"/>
          <w:color w:val="111111"/>
          <w:sz w:val="24"/>
          <w:szCs w:val="24"/>
          <w:lang w:eastAsia="lt-LT"/>
        </w:rPr>
        <w:t xml:space="preserve">                                                                          </w:t>
      </w:r>
      <w:r>
        <w:rPr>
          <w:rFonts w:cs="Times New Roman" w:ascii="Times New Roman" w:hAnsi="Times New Roman"/>
          <w:color w:val="111111"/>
          <w:sz w:val="24"/>
          <w:szCs w:val="24"/>
        </w:rPr>
        <w:t>įsakymu</w:t>
      </w:r>
      <w:r>
        <w:rPr>
          <w:rFonts w:cs="Times New Roman" w:ascii="Times New Roman" w:hAnsi="Times New Roman"/>
          <w:color w:val="111111"/>
          <w:sz w:val="24"/>
          <w:szCs w:val="24"/>
          <w:lang w:eastAsia="ar-SA"/>
        </w:rPr>
        <w:t xml:space="preserve"> </w:t>
      </w:r>
      <w:r>
        <w:rPr>
          <w:rFonts w:cs="Times New Roman" w:ascii="Times New Roman" w:hAnsi="Times New Roman"/>
          <w:color w:val="111111"/>
          <w:sz w:val="24"/>
          <w:szCs w:val="24"/>
        </w:rPr>
        <w:t>Nr. V-</w:t>
      </w:r>
      <w:r>
        <w:rPr>
          <w:rFonts w:cs="Times New Roman" w:ascii="Times New Roman" w:hAnsi="Times New Roman"/>
          <w:color w:val="111111"/>
          <w:sz w:val="24"/>
          <w:szCs w:val="24"/>
        </w:rPr>
        <w:t>36</w:t>
      </w:r>
    </w:p>
    <w:p>
      <w:pPr>
        <w:pStyle w:val="Normal"/>
        <w:spacing w:before="0" w:after="0"/>
        <w:rPr>
          <w:rFonts w:ascii="Times New Roman" w:hAnsi="Times New Roman" w:cs="Times New Roman"/>
          <w:color w:val="FF0000"/>
          <w:sz w:val="24"/>
          <w:szCs w:val="24"/>
          <w:lang w:val="en-GB"/>
        </w:rPr>
      </w:pPr>
      <w:r>
        <w:rPr>
          <w:rFonts w:cs="Times New Roman" w:ascii="Times New Roman" w:hAnsi="Times New Roman"/>
          <w:color w:val="111111"/>
          <w:sz w:val="24"/>
          <w:szCs w:val="24"/>
          <w:lang w:eastAsia="lt-LT"/>
        </w:rPr>
        <w:t xml:space="preserve">                                                                          </w:t>
      </w:r>
      <w:r>
        <w:rPr>
          <w:rFonts w:cs="Times New Roman" w:ascii="Times New Roman" w:hAnsi="Times New Roman"/>
          <w:color w:val="111111"/>
          <w:sz w:val="24"/>
          <w:szCs w:val="24"/>
          <w:lang w:eastAsia="lt-LT"/>
        </w:rPr>
        <w:t xml:space="preserve">2 priedas </w:t>
      </w:r>
      <w:bookmarkStart w:id="0" w:name="_GoBack"/>
      <w:bookmarkEnd w:id="0"/>
    </w:p>
    <w:p>
      <w:pPr>
        <w:pStyle w:val="Normal"/>
        <w:tabs>
          <w:tab w:val="clear" w:pos="1296"/>
          <w:tab w:val="left" w:pos="5954" w:leader="none"/>
        </w:tabs>
        <w:spacing w:before="0" w:after="0"/>
        <w:rPr>
          <w:rFonts w:ascii="Times New Roman" w:hAnsi="Times New Roman" w:cs="Times New Roman"/>
          <w:color w:val="111111"/>
          <w:sz w:val="24"/>
          <w:szCs w:val="24"/>
          <w:lang w:eastAsia="lt-LT"/>
        </w:rPr>
      </w:pPr>
      <w:r>
        <w:rPr>
          <w:rFonts w:cs="Times New Roman" w:ascii="Times New Roman" w:hAnsi="Times New Roman"/>
          <w:color w:val="111111"/>
          <w:sz w:val="24"/>
          <w:szCs w:val="24"/>
          <w:lang w:eastAsia="lt-LT"/>
        </w:rPr>
      </w:r>
    </w:p>
    <w:p>
      <w:pPr>
        <w:pStyle w:val="Normal"/>
        <w:spacing w:lineRule="auto" w:line="360" w:before="0" w:after="0"/>
        <w:jc w:val="center"/>
        <w:rPr>
          <w:rFonts w:ascii="Times New Roman" w:hAnsi="Times New Roman" w:cs="Times New Roman"/>
          <w:b/>
          <w:b/>
          <w:bCs/>
          <w:caps/>
          <w:sz w:val="24"/>
          <w:szCs w:val="24"/>
          <w:lang w:eastAsia="lt-LT"/>
        </w:rPr>
      </w:pPr>
      <w:r>
        <w:rPr>
          <w:rFonts w:cs="Times New Roman" w:ascii="Times New Roman" w:hAnsi="Times New Roman"/>
          <w:b/>
          <w:bCs/>
          <w:sz w:val="24"/>
          <w:szCs w:val="24"/>
          <w:lang w:eastAsia="lt-LT"/>
        </w:rPr>
        <w:t xml:space="preserve">(Konfidencialumo pasižadėjimo forma) </w:t>
      </w:r>
    </w:p>
    <w:p>
      <w:pPr>
        <w:pStyle w:val="Normal"/>
        <w:spacing w:lineRule="auto" w:line="360" w:before="0" w:after="0"/>
        <w:jc w:val="center"/>
        <w:rPr>
          <w:rFonts w:ascii="Times New Roman" w:hAnsi="Times New Roman" w:cs="Times New Roman"/>
          <w:b/>
          <w:b/>
          <w:sz w:val="24"/>
          <w:szCs w:val="24"/>
          <w:lang w:eastAsia="lt-LT"/>
        </w:rPr>
      </w:pPr>
      <w:r>
        <w:rPr>
          <w:rFonts w:cs="Times New Roman" w:ascii="Times New Roman" w:hAnsi="Times New Roman"/>
          <w:b/>
          <w:sz w:val="24"/>
          <w:szCs w:val="24"/>
          <w:lang w:eastAsia="lt-LT"/>
        </w:rPr>
      </w:r>
    </w:p>
    <w:p>
      <w:pPr>
        <w:pStyle w:val="Normal"/>
        <w:spacing w:lineRule="auto" w:line="360" w:before="0" w:after="0"/>
        <w:jc w:val="center"/>
        <w:rPr/>
      </w:pPr>
      <w:r>
        <w:rPr>
          <w:rFonts w:cs="Times New Roman" w:ascii="Times New Roman" w:hAnsi="Times New Roman"/>
          <w:b/>
          <w:sz w:val="24"/>
          <w:szCs w:val="24"/>
          <w:lang w:eastAsia="lt-LT"/>
        </w:rPr>
        <w:t>Kauno  Tirkiliškių mokyklos-darželio</w:t>
      </w:r>
    </w:p>
    <w:p>
      <w:pPr>
        <w:pStyle w:val="Normal"/>
        <w:spacing w:before="0" w:after="0"/>
        <w:jc w:val="center"/>
        <w:rPr>
          <w:rFonts w:ascii="Times New Roman" w:hAnsi="Times New Roman" w:cs="Times New Roman"/>
          <w:sz w:val="24"/>
          <w:szCs w:val="24"/>
          <w:lang w:eastAsia="lt-LT"/>
        </w:rPr>
      </w:pPr>
      <w:r>
        <w:rPr>
          <w:rFonts w:cs="Times New Roman" w:ascii="Times New Roman" w:hAnsi="Times New Roman"/>
          <w:sz w:val="24"/>
          <w:szCs w:val="24"/>
          <w:lang w:eastAsia="lt-LT"/>
        </w:rPr>
        <w:t>___________________________________________________________________________</w:t>
      </w:r>
    </w:p>
    <w:p>
      <w:pPr>
        <w:pStyle w:val="Normal"/>
        <w:spacing w:before="0" w:after="0"/>
        <w:jc w:val="center"/>
        <w:rPr>
          <w:rFonts w:ascii="Times New Roman" w:hAnsi="Times New Roman" w:cs="Times New Roman"/>
          <w:b/>
          <w:b/>
          <w:bCs/>
          <w:sz w:val="24"/>
          <w:szCs w:val="24"/>
          <w:lang w:eastAsia="lt-LT"/>
        </w:rPr>
      </w:pPr>
      <w:r>
        <w:rPr>
          <w:rFonts w:cs="Times New Roman" w:ascii="Times New Roman" w:hAnsi="Times New Roman"/>
          <w:i/>
          <w:iCs/>
          <w:sz w:val="24"/>
          <w:szCs w:val="24"/>
          <w:lang w:eastAsia="lt-LT"/>
        </w:rPr>
        <w:t>(Asmens vardas ir pavardė, pareigos)</w:t>
      </w:r>
    </w:p>
    <w:p>
      <w:pPr>
        <w:pStyle w:val="Normal"/>
        <w:spacing w:lineRule="auto" w:line="360" w:before="0" w:after="0"/>
        <w:jc w:val="center"/>
        <w:rPr>
          <w:rFonts w:ascii="Times New Roman" w:hAnsi="Times New Roman" w:cs="Times New Roman"/>
          <w:b/>
          <w:b/>
          <w:bCs/>
          <w:sz w:val="24"/>
          <w:szCs w:val="24"/>
          <w:lang w:eastAsia="lt-LT"/>
        </w:rPr>
      </w:pPr>
      <w:r>
        <w:rPr>
          <w:rFonts w:cs="Times New Roman" w:ascii="Times New Roman" w:hAnsi="Times New Roman"/>
          <w:b/>
          <w:bCs/>
          <w:sz w:val="24"/>
          <w:szCs w:val="24"/>
          <w:lang w:eastAsia="lt-LT"/>
        </w:rPr>
      </w:r>
    </w:p>
    <w:p>
      <w:pPr>
        <w:pStyle w:val="Normal"/>
        <w:spacing w:before="0" w:after="0"/>
        <w:jc w:val="center"/>
        <w:rPr>
          <w:rFonts w:ascii="Times New Roman" w:hAnsi="Times New Roman" w:cs="Times New Roman"/>
          <w:b/>
          <w:b/>
          <w:bCs/>
          <w:caps/>
          <w:sz w:val="24"/>
          <w:szCs w:val="24"/>
          <w:lang w:eastAsia="lt-LT"/>
        </w:rPr>
      </w:pPr>
      <w:r>
        <w:rPr>
          <w:rFonts w:cs="Times New Roman" w:ascii="Times New Roman" w:hAnsi="Times New Roman"/>
          <w:b/>
          <w:bCs/>
          <w:sz w:val="24"/>
          <w:szCs w:val="24"/>
          <w:lang w:eastAsia="lt-LT"/>
        </w:rPr>
        <w:t xml:space="preserve">KONFIDENCIALUMO PASIŽADĖJIMAS </w:t>
      </w:r>
    </w:p>
    <w:p>
      <w:pPr>
        <w:pStyle w:val="Normal"/>
        <w:spacing w:before="0" w:after="0"/>
        <w:jc w:val="center"/>
        <w:rPr>
          <w:rFonts w:ascii="Times New Roman" w:hAnsi="Times New Roman" w:cs="Times New Roman"/>
          <w:b/>
          <w:b/>
          <w:bCs/>
          <w:sz w:val="24"/>
          <w:szCs w:val="24"/>
          <w:lang w:eastAsia="lt-LT"/>
        </w:rPr>
      </w:pPr>
      <w:r>
        <w:rPr>
          <w:rFonts w:cs="Times New Roman" w:ascii="Times New Roman" w:hAnsi="Times New Roman"/>
          <w:b/>
          <w:bCs/>
          <w:sz w:val="24"/>
          <w:szCs w:val="24"/>
          <w:lang w:eastAsia="lt-LT"/>
        </w:rPr>
      </w:r>
    </w:p>
    <w:p>
      <w:pPr>
        <w:pStyle w:val="Normal"/>
        <w:tabs>
          <w:tab w:val="clear" w:pos="1296"/>
          <w:tab w:val="left" w:pos="1900" w:leader="none"/>
        </w:tabs>
        <w:spacing w:before="0" w:after="0"/>
        <w:jc w:val="center"/>
        <w:rPr>
          <w:rFonts w:ascii="Times New Roman" w:hAnsi="Times New Roman" w:cs="Times New Roman"/>
          <w:sz w:val="24"/>
          <w:szCs w:val="24"/>
          <w:lang w:eastAsia="lt-LT"/>
        </w:rPr>
      </w:pPr>
      <w:r>
        <w:rPr>
          <w:rFonts w:cs="Times New Roman" w:ascii="Times New Roman" w:hAnsi="Times New Roman"/>
          <w:sz w:val="24"/>
          <w:szCs w:val="24"/>
          <w:lang w:eastAsia="lt-LT"/>
        </w:rPr>
        <w:t>20__   m. _________ d.</w:t>
      </w:r>
    </w:p>
    <w:p>
      <w:pPr>
        <w:pStyle w:val="Normal"/>
        <w:spacing w:before="0" w:after="0"/>
        <w:jc w:val="center"/>
        <w:rPr>
          <w:rFonts w:ascii="Times New Roman" w:hAnsi="Times New Roman" w:cs="Times New Roman"/>
          <w:b/>
          <w:b/>
          <w:bCs/>
          <w:sz w:val="24"/>
          <w:szCs w:val="24"/>
          <w:lang w:eastAsia="lt-LT"/>
        </w:rPr>
      </w:pPr>
      <w:r>
        <w:rPr>
          <w:rFonts w:cs="Times New Roman" w:ascii="Times New Roman" w:hAnsi="Times New Roman"/>
          <w:sz w:val="24"/>
          <w:szCs w:val="24"/>
          <w:lang w:eastAsia="lt-LT"/>
        </w:rPr>
        <w:t>Kaunas</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r>
    </w:p>
    <w:p>
      <w:pPr>
        <w:pStyle w:val="Normal"/>
        <w:suppressAutoHyphens w:val="true"/>
        <w:spacing w:before="0" w:after="0"/>
        <w:ind w:firstLine="720"/>
        <w:jc w:val="both"/>
        <w:rPr/>
      </w:pPr>
      <w:r>
        <w:rPr>
          <w:rFonts w:cs="Times New Roman" w:ascii="Times New Roman" w:hAnsi="Times New Roman"/>
          <w:sz w:val="24"/>
          <w:szCs w:val="24"/>
          <w:lang w:eastAsia="lt-LT"/>
        </w:rPr>
        <w:t>1. Aš suprantu, kad, vykdydamas savo pareigas Kauno Tirkiliškių mokykloje-darželyje, turėsiu prieigą prie informacijos apie asmenis, kuriems vadovaujantis Lietuvos Respublikos pranešėjų apsaugos įstatymo (toliau – Pranešėjų apsaugos įstatymas) nuostatomis taikomas reikalavimas užtikrinti konfidencialumą. Ši informacija Lietuvos Respublikos įstatymų nustatytais atvejais gali būti atskleista ar perduota tik įgaliotiems asmenims ar institucijoms.</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t>2. Aš žinau, kad konfidencialią informaciją sudaro asmens, Pranešėjų apsaugos įstatymo nustatyta tvarka pateikusio informaciją apie pažeidimą, duomenys ir kita jį tiesiogiai ar netiesiogiai identifikuoti leidžianti informacija.</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t>3. Aš pasižadu užtikrinti konfidencialumą ir neatskleisti, neperduoti informacijos, kuriai pagal Pranešėjų apsaugos įstatymą taikomas reikalavimas užtikrinti konfidencialumą, nė vienam asmeniui, kuris nėra įgaliotas naudotis šia informacija, tiek įstaigos viduje, tiek už jos ribų. Taip pat pasižadu pranešti savo vadovui apie bet kokią pastebėtą ar sužinotą situaciją, kuri gali kelti grėsmę tokios informacijos saugumui ir konfidencialumui užtikrinti.</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t xml:space="preserve">4. Aš žinau, kad šis pasižadėjimas galios visą mano darbo laiką šioje įstaigoje, taip pat man perėjus dirbti į kitas pareigas arba pasibaigus darbo ar sutartiniams santykiams. </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t>5. Aš esu susipažinęs su Pranešėjų apsaugos įstatyme ir kituose teisės aktuose nustatytais pranešėjų apsaugos reikalavimais.</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t xml:space="preserve">6. Aš esu įspėtas (-a), kad, pažeidus šį pasižadėjimą, man gali būti taikoma atsakomybė už Pranešėjų apsaugos įstatyme ir (ar) kituose teisės aktuose nustatytų pranešėjų apsaugos reikalavimų pažeidimą. </w:t>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r>
    </w:p>
    <w:p>
      <w:pPr>
        <w:pStyle w:val="Normal"/>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sz w:val="24"/>
          <w:szCs w:val="24"/>
          <w:lang w:eastAsia="lt-LT"/>
        </w:rPr>
      </w:r>
    </w:p>
    <w:p>
      <w:pPr>
        <w:pStyle w:val="Normal"/>
        <w:tabs>
          <w:tab w:val="clear" w:pos="1296"/>
          <w:tab w:val="center" w:pos="7900" w:leader="none"/>
        </w:tabs>
        <w:suppressAutoHyphens w:val="true"/>
        <w:spacing w:before="0" w:after="0"/>
        <w:jc w:val="both"/>
        <w:rPr/>
      </w:pPr>
      <w:r>
        <w:rPr>
          <w:rFonts w:cs="Times New Roman" w:ascii="Times New Roman" w:hAnsi="Times New Roman"/>
          <w:sz w:val="24"/>
          <w:szCs w:val="24"/>
          <w:lang w:eastAsia="lt-LT"/>
        </w:rPr>
        <w:t xml:space="preserve">_____________________ </w:t>
        <w:tab/>
        <w:t>____________________</w:t>
      </w:r>
    </w:p>
    <w:p>
      <w:pPr>
        <w:pStyle w:val="Normal"/>
        <w:tabs>
          <w:tab w:val="clear" w:pos="1296"/>
          <w:tab w:val="center" w:pos="7900" w:leader="none"/>
        </w:tabs>
        <w:suppressAutoHyphens w:val="true"/>
        <w:spacing w:before="0" w:after="0"/>
        <w:ind w:firstLine="720"/>
        <w:jc w:val="both"/>
        <w:rPr>
          <w:rFonts w:ascii="Times New Roman" w:hAnsi="Times New Roman" w:cs="Times New Roman"/>
          <w:sz w:val="24"/>
          <w:szCs w:val="24"/>
          <w:lang w:eastAsia="lt-LT"/>
        </w:rPr>
      </w:pPr>
      <w:r>
        <w:rPr>
          <w:rFonts w:cs="Times New Roman" w:ascii="Times New Roman" w:hAnsi="Times New Roman"/>
          <w:i/>
          <w:iCs/>
          <w:sz w:val="24"/>
          <w:szCs w:val="24"/>
          <w:lang w:eastAsia="lt-LT"/>
        </w:rPr>
        <w:t xml:space="preserve">(parašas) </w:t>
        <w:tab/>
        <w:t>(vardas ir pavardė)</w:t>
      </w:r>
    </w:p>
    <w:p>
      <w:pPr>
        <w:pStyle w:val="Normal"/>
        <w:spacing w:before="0" w:after="0"/>
        <w:jc w:val="center"/>
        <w:rPr/>
      </w:pPr>
      <w:r>
        <w:rPr/>
      </w:r>
    </w:p>
    <w:sectPr>
      <w:footerReference w:type="default" r:id="rId3"/>
      <w:type w:val="nextPage"/>
      <w:pgSz w:w="11906" w:h="16838"/>
      <w:pgMar w:left="1701" w:right="567" w:header="0" w:top="851" w:footer="567"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4017304"/>
    </w:sdtPr>
    <w:sdtContent>
      <w:p>
        <w:pPr>
          <w:pStyle w:val="Footer"/>
          <w:jc w:val="center"/>
          <w:rPr/>
        </w:pPr>
        <w:r>
          <w:rPr>
            <w:rFonts w:cs="Times New Roman" w:ascii="Times New Roman" w:hAnsi="Times New Roman"/>
          </w:rPr>
          <w:fldChar w:fldCharType="begin"/>
        </w:r>
        <w:r>
          <w:rPr>
            <w:rFonts w:cs="Times New Roman" w:ascii="Times New Roman" w:hAnsi="Times New Roman"/>
          </w:rPr>
          <w:instrText> PAGE </w:instrText>
        </w:r>
        <w:r>
          <w:rPr>
            <w:rFonts w:cs="Times New Roman" w:ascii="Times New Roman" w:hAnsi="Times New Roman"/>
          </w:rPr>
          <w:fldChar w:fldCharType="separate"/>
        </w:r>
        <w:r>
          <w:rPr>
            <w:rFonts w:cs="Times New Roman" w:ascii="Times New Roman" w:hAnsi="Times New Roman"/>
          </w:rPr>
          <w:t>7</w:t>
        </w:r>
        <w:r>
          <w:rPr>
            <w:rFonts w:cs="Times New Roman" w:ascii="Times New Roman" w:hAnsi="Times New Roman"/>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lvl w:ilvl="0">
      <w:start w:val="1"/>
      <w:numFmt w:val="decimal"/>
      <w:lvlText w:val="%1."/>
      <w:lvlJc w:val="left"/>
      <w:pPr>
        <w:ind w:left="720" w:hanging="360"/>
      </w:pPr>
    </w:lvl>
    <w:lvl w:ilvl="1">
      <w:start w:val="1"/>
      <w:numFmt w:val="decimal"/>
      <w:lvlText w:val="%1.%2"/>
      <w:lvlJc w:val="left"/>
      <w:pPr>
        <w:ind w:left="624" w:hanging="284"/>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lvl w:ilvl="0">
      <w:start w:val="1"/>
      <w:numFmt w:val="decimal"/>
      <w:lvlText w:val="%1."/>
      <w:lvlJc w:val="left"/>
      <w:pPr>
        <w:ind w:left="720" w:hanging="360"/>
      </w:pPr>
    </w:lvl>
    <w:lvl w:ilvl="1">
      <w:start w:val="1"/>
      <w:numFmt w:val="decimal"/>
      <w:lvlText w:val="%1.%2"/>
      <w:lvlJc w:val="left"/>
      <w:pPr>
        <w:ind w:left="680" w:hanging="3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4"/>
  <w:defaultTabStop w:val="1296"/>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lt-L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lt-LT" w:eastAsia="en-US" w:bidi="ar-SA"/>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0224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lt-LT"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c02249"/>
    <w:rPr>
      <w:color w:val="0000FF" w:themeColor="hyperlink"/>
      <w:u w:val="single"/>
    </w:rPr>
  </w:style>
  <w:style w:type="character" w:styleId="HeaderChar" w:customStyle="1">
    <w:name w:val="Header Char"/>
    <w:basedOn w:val="DefaultParagraphFont"/>
    <w:link w:val="Header"/>
    <w:uiPriority w:val="99"/>
    <w:qFormat/>
    <w:rsid w:val="00e91539"/>
    <w:rPr/>
  </w:style>
  <w:style w:type="character" w:styleId="FooterChar" w:customStyle="1">
    <w:name w:val="Footer Char"/>
    <w:basedOn w:val="DefaultParagraphFont"/>
    <w:link w:val="Footer"/>
    <w:uiPriority w:val="99"/>
    <w:qFormat/>
    <w:rsid w:val="00e91539"/>
    <w:rPr/>
  </w:style>
  <w:style w:type="character" w:styleId="BalloonTextChar" w:customStyle="1">
    <w:name w:val="Balloon Text Char"/>
    <w:basedOn w:val="DefaultParagraphFont"/>
    <w:link w:val="BalloonText"/>
    <w:uiPriority w:val="99"/>
    <w:semiHidden/>
    <w:qFormat/>
    <w:rsid w:val="00c21fef"/>
    <w:rPr>
      <w:rFonts w:ascii="Segoe UI" w:hAnsi="Segoe UI" w:cs="Segoe UI"/>
      <w:sz w:val="18"/>
      <w:szCs w:val="18"/>
    </w:rPr>
  </w:style>
  <w:style w:type="character" w:styleId="StrongEmphasis">
    <w:name w:val="Strong Emphasis"/>
    <w:qFormat/>
    <w:rPr>
      <w:b/>
      <w:bCs/>
    </w:rPr>
  </w:style>
  <w:style w:type="character" w:styleId="ListLabel1">
    <w:name w:val="ListLabel 1"/>
    <w:qFormat/>
    <w:rPr>
      <w:rFonts w:ascii="Times New Roman" w:hAnsi="Times New Roman" w:cs="Times New Roman"/>
      <w:color w:val="111111"/>
      <w:sz w:val="24"/>
      <w:szCs w:val="24"/>
    </w:rPr>
  </w:style>
  <w:style w:type="character" w:styleId="ListLabel2">
    <w:name w:val="ListLabel 2"/>
    <w:qFormat/>
    <w:rPr>
      <w:rFonts w:ascii="Times New Roman" w:hAnsi="Times New Roman" w:cs="Times New Roman"/>
      <w:color w:val="111111"/>
      <w:sz w:val="24"/>
      <w:szCs w:val="24"/>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c02249"/>
    <w:pPr>
      <w:spacing w:before="0" w:after="200"/>
      <w:ind w:left="720" w:hanging="0"/>
      <w:contextualSpacing/>
    </w:pPr>
    <w:rPr/>
  </w:style>
  <w:style w:type="paragraph" w:styleId="Header">
    <w:name w:val="Header"/>
    <w:basedOn w:val="Normal"/>
    <w:link w:val="HeaderChar"/>
    <w:uiPriority w:val="99"/>
    <w:unhideWhenUsed/>
    <w:rsid w:val="00e91539"/>
    <w:pPr>
      <w:tabs>
        <w:tab w:val="clear" w:pos="1296"/>
        <w:tab w:val="center" w:pos="4819" w:leader="none"/>
        <w:tab w:val="right" w:pos="9638" w:leader="none"/>
      </w:tabs>
      <w:spacing w:lineRule="auto" w:line="240" w:before="0" w:after="0"/>
    </w:pPr>
    <w:rPr/>
  </w:style>
  <w:style w:type="paragraph" w:styleId="Footer">
    <w:name w:val="Footer"/>
    <w:basedOn w:val="Normal"/>
    <w:link w:val="FooterChar"/>
    <w:uiPriority w:val="99"/>
    <w:unhideWhenUsed/>
    <w:rsid w:val="00e91539"/>
    <w:pPr>
      <w:tabs>
        <w:tab w:val="clear" w:pos="1296"/>
        <w:tab w:val="center" w:pos="4819" w:leader="none"/>
        <w:tab w:val="right" w:pos="9638" w:leader="none"/>
      </w:tabs>
      <w:spacing w:lineRule="auto" w:line="240" w:before="0" w:after="0"/>
    </w:pPr>
    <w:rPr/>
  </w:style>
  <w:style w:type="paragraph" w:styleId="BalloonText">
    <w:name w:val="Balloon Text"/>
    <w:basedOn w:val="Normal"/>
    <w:link w:val="BalloonTextChar"/>
    <w:uiPriority w:val="99"/>
    <w:semiHidden/>
    <w:unhideWhenUsed/>
    <w:qFormat/>
    <w:rsid w:val="00c21fef"/>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irkiliskiumd@tirkiliskiupradine.lt"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LibreOffice/6.1.4.2$Windows_X86_64 LibreOffice_project/9d0f32d1f0b509096fd65e0d4bec26ddd1938fd3</Application>
  <Pages>7</Pages>
  <Words>1655</Words>
  <Characters>11844</Characters>
  <CharactersWithSpaces>14261</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2019-05-07T05:54:00Z</dcterms:created>
  <dc:creator>Psichikos_centras</dc:creator>
  <dc:description/>
  <dc:language>lt-LT</dc:language>
  <cp:lastModifiedBy/>
  <cp:lastPrinted>2019-05-07T05:53:00Z</cp:lastPrinted>
  <dcterms:modified xsi:type="dcterms:W3CDTF">2019-09-24T14:32:07Z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